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505" w:rsidRPr="0044228E" w:rsidRDefault="0044228E" w:rsidP="00296D59">
      <w:pPr>
        <w:pStyle w:val="Ttulo"/>
        <w:rPr>
          <w:lang w:val="es-ES"/>
        </w:rPr>
      </w:pPr>
      <w:r w:rsidRPr="0044228E">
        <w:rPr>
          <w:rFonts w:cs="Segoe"/>
          <w:color w:val="221E1F"/>
          <w:sz w:val="20"/>
          <w:szCs w:val="20"/>
          <w:lang w:val="es-ES"/>
        </w:rPr>
        <w:t>Utilizando el menú Objeto Hoja de cálculo, abra o edite la tabla basada en Excel del documento. A continuación, utilice el gráfico de columnas del documento para experimentar con el formato y diseño de los gráficos. Cambie el tipo de gráfico a uno de líneas. Muestre la tabla de datos junto con el gráfico. Cambie la posición de la leyenda para que aparezca en el lado izquierdo del gráfico. Utilice el gráfico de líneas genérico de la página 2 del documento para practicar la edición de los datos del gráfico y modifique el origen de datos del gráfico. Por ejemplo, cambie el rango de datos del gráfico para que haga referencia a las celdas A1:F6. Añada puntos de datos adicionales en las celdas nuevas.</w:t>
      </w:r>
    </w:p>
    <w:p w:rsidR="00F41A6B" w:rsidRPr="0044228E" w:rsidRDefault="0044228E" w:rsidP="00296D59">
      <w:pPr>
        <w:pStyle w:val="Ttulo"/>
        <w:rPr>
          <w:lang w:val="es-ES"/>
        </w:rPr>
      </w:pPr>
      <w:r w:rsidRPr="0044228E">
        <w:rPr>
          <w:lang w:val="es-ES"/>
        </w:rPr>
        <w:t>Acta de la reunión del Comité de protección</w:t>
      </w:r>
    </w:p>
    <w:p w:rsidR="00296D59" w:rsidRPr="0044228E" w:rsidRDefault="0044228E" w:rsidP="00296D59">
      <w:pPr>
        <w:rPr>
          <w:sz w:val="24"/>
          <w:szCs w:val="24"/>
          <w:lang w:val="es-ES"/>
        </w:rPr>
      </w:pPr>
      <w:r w:rsidRPr="0044228E">
        <w:rPr>
          <w:sz w:val="24"/>
          <w:szCs w:val="24"/>
          <w:lang w:val="es-ES"/>
        </w:rPr>
        <w:t>Asistentes</w:t>
      </w:r>
      <w:r w:rsidR="00296D59" w:rsidRPr="0044228E">
        <w:rPr>
          <w:sz w:val="24"/>
          <w:szCs w:val="24"/>
          <w:lang w:val="es-ES"/>
        </w:rPr>
        <w:t xml:space="preserve">: </w:t>
      </w:r>
      <w:proofErr w:type="spellStart"/>
      <w:r w:rsidR="00296D59" w:rsidRPr="0044228E">
        <w:rPr>
          <w:sz w:val="24"/>
          <w:szCs w:val="24"/>
          <w:lang w:val="es-ES"/>
        </w:rPr>
        <w:t>Geoff</w:t>
      </w:r>
      <w:proofErr w:type="spellEnd"/>
      <w:r w:rsidR="00296D59" w:rsidRPr="0044228E">
        <w:rPr>
          <w:sz w:val="24"/>
          <w:szCs w:val="24"/>
          <w:lang w:val="es-ES"/>
        </w:rPr>
        <w:t xml:space="preserve"> </w:t>
      </w:r>
      <w:r w:rsidRPr="0044228E">
        <w:rPr>
          <w:sz w:val="24"/>
          <w:szCs w:val="24"/>
          <w:lang w:val="es-ES"/>
        </w:rPr>
        <w:t xml:space="preserve">Evelyn (Secretario), John Pierce, </w:t>
      </w:r>
      <w:proofErr w:type="spellStart"/>
      <w:r w:rsidRPr="0044228E">
        <w:rPr>
          <w:sz w:val="24"/>
          <w:szCs w:val="24"/>
          <w:lang w:val="es-ES"/>
        </w:rPr>
        <w:t>Samantha</w:t>
      </w:r>
      <w:proofErr w:type="spellEnd"/>
      <w:r w:rsidRPr="0044228E">
        <w:rPr>
          <w:sz w:val="24"/>
          <w:szCs w:val="24"/>
          <w:lang w:val="es-ES"/>
        </w:rPr>
        <w:t xml:space="preserve"> Smith</w:t>
      </w:r>
      <w:r w:rsidR="00296D59" w:rsidRPr="0044228E">
        <w:rPr>
          <w:sz w:val="24"/>
          <w:szCs w:val="24"/>
          <w:lang w:val="es-ES"/>
        </w:rPr>
        <w:t xml:space="preserve"> </w:t>
      </w:r>
      <w:r w:rsidRPr="0044228E">
        <w:rPr>
          <w:sz w:val="24"/>
          <w:szCs w:val="24"/>
          <w:lang w:val="es-ES"/>
        </w:rPr>
        <w:t>y</w:t>
      </w:r>
      <w:r w:rsidR="00296D59" w:rsidRPr="0044228E">
        <w:rPr>
          <w:sz w:val="24"/>
          <w:szCs w:val="24"/>
          <w:lang w:val="es-ES"/>
        </w:rPr>
        <w:t xml:space="preserve"> Kim </w:t>
      </w:r>
      <w:proofErr w:type="spellStart"/>
      <w:r w:rsidR="00296D59" w:rsidRPr="0044228E">
        <w:rPr>
          <w:sz w:val="24"/>
          <w:szCs w:val="24"/>
          <w:lang w:val="es-ES"/>
        </w:rPr>
        <w:t>Abercrombie</w:t>
      </w:r>
      <w:proofErr w:type="spellEnd"/>
    </w:p>
    <w:p w:rsidR="00296D59" w:rsidRPr="0044228E" w:rsidRDefault="00296D59" w:rsidP="00296D59">
      <w:pPr>
        <w:rPr>
          <w:sz w:val="24"/>
          <w:szCs w:val="24"/>
          <w:lang w:val="es-ES"/>
        </w:rPr>
      </w:pPr>
    </w:p>
    <w:p w:rsidR="0044228E" w:rsidRPr="0044228E" w:rsidRDefault="0044228E" w:rsidP="00296D59">
      <w:pPr>
        <w:rPr>
          <w:sz w:val="24"/>
          <w:szCs w:val="24"/>
          <w:lang w:val="es-ES"/>
        </w:rPr>
      </w:pPr>
      <w:r w:rsidRPr="0044228E">
        <w:rPr>
          <w:sz w:val="24"/>
          <w:szCs w:val="24"/>
          <w:lang w:val="es-ES"/>
        </w:rPr>
        <w:t xml:space="preserve">El secretario </w:t>
      </w:r>
      <w:proofErr w:type="spellStart"/>
      <w:r w:rsidRPr="0044228E">
        <w:rPr>
          <w:sz w:val="24"/>
          <w:szCs w:val="24"/>
          <w:lang w:val="es-ES"/>
        </w:rPr>
        <w:t>Geoff</w:t>
      </w:r>
      <w:proofErr w:type="spellEnd"/>
      <w:r w:rsidRPr="0044228E">
        <w:rPr>
          <w:sz w:val="24"/>
          <w:szCs w:val="24"/>
          <w:lang w:val="es-ES"/>
        </w:rPr>
        <w:t xml:space="preserve"> Evelyn convocó la reunión a las 19h. En primer lugar, dio la bienvenida al nuevo miembro </w:t>
      </w:r>
      <w:proofErr w:type="spellStart"/>
      <w:r w:rsidRPr="0044228E">
        <w:rPr>
          <w:sz w:val="24"/>
          <w:szCs w:val="24"/>
          <w:lang w:val="es-ES"/>
        </w:rPr>
        <w:t>Abercrombie</w:t>
      </w:r>
      <w:proofErr w:type="spellEnd"/>
      <w:r w:rsidRPr="0044228E">
        <w:rPr>
          <w:sz w:val="24"/>
          <w:szCs w:val="24"/>
          <w:lang w:val="es-ES"/>
        </w:rPr>
        <w:t>, quien se presentó al comité e informó sobre su interés en el campo de la protección.</w:t>
      </w:r>
    </w:p>
    <w:p w:rsidR="00124D89" w:rsidRPr="0044228E" w:rsidRDefault="0044228E" w:rsidP="00296D59">
      <w:pPr>
        <w:rPr>
          <w:sz w:val="24"/>
          <w:szCs w:val="24"/>
          <w:lang w:val="es-ES"/>
        </w:rPr>
      </w:pPr>
      <w:r w:rsidRPr="0044228E">
        <w:rPr>
          <w:sz w:val="24"/>
          <w:szCs w:val="24"/>
          <w:lang w:val="es-ES"/>
        </w:rPr>
        <w:t>Asuntos anteriores</w:t>
      </w:r>
      <w:r w:rsidR="00296D59" w:rsidRPr="0044228E">
        <w:rPr>
          <w:sz w:val="24"/>
          <w:szCs w:val="24"/>
          <w:lang w:val="es-ES"/>
        </w:rPr>
        <w:t xml:space="preserve">: </w:t>
      </w:r>
      <w:r w:rsidRPr="0044228E">
        <w:rPr>
          <w:sz w:val="24"/>
          <w:szCs w:val="24"/>
          <w:lang w:val="es-ES"/>
        </w:rPr>
        <w:t xml:space="preserve">el comité estudió el informe preparado por John Pierce, que resumía los resultados de recaudación de fondos del comité para la segunda mitad de 2012. </w:t>
      </w:r>
    </w:p>
    <w:bookmarkStart w:id="0" w:name="_MON_1384186507"/>
    <w:bookmarkStart w:id="1" w:name="_MON_1384186524"/>
    <w:bookmarkStart w:id="2" w:name="_MON_1384186552"/>
    <w:bookmarkStart w:id="3" w:name="_MON_1384186737"/>
    <w:bookmarkEnd w:id="0"/>
    <w:bookmarkEnd w:id="1"/>
    <w:bookmarkEnd w:id="2"/>
    <w:bookmarkEnd w:id="3"/>
    <w:p w:rsidR="00EF459A" w:rsidRPr="0044228E" w:rsidRDefault="0044228E" w:rsidP="00296D59">
      <w:pPr>
        <w:rPr>
          <w:sz w:val="24"/>
          <w:szCs w:val="24"/>
          <w:lang w:val="es-ES"/>
        </w:rPr>
      </w:pPr>
      <w:r w:rsidRPr="0044228E">
        <w:rPr>
          <w:sz w:val="24"/>
          <w:szCs w:val="24"/>
          <w:lang w:val="es-ES"/>
        </w:rPr>
        <w:object w:dxaOrig="10738" w:dyaOrig="3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6.65pt;height:160.75pt" o:ole="">
            <v:imagedata r:id="rId7" o:title=""/>
          </v:shape>
          <o:OLEObject Type="Embed" ProgID="Excel.Sheet.12" ShapeID="_x0000_i1025" DrawAspect="Content" ObjectID="_1384186815" r:id="rId8"/>
        </w:object>
      </w:r>
    </w:p>
    <w:p w:rsidR="005D4B6A" w:rsidRPr="0044228E" w:rsidRDefault="005D4B6A" w:rsidP="00296D59">
      <w:pPr>
        <w:rPr>
          <w:sz w:val="24"/>
          <w:szCs w:val="24"/>
          <w:lang w:val="es-ES"/>
        </w:rPr>
      </w:pPr>
      <w:r w:rsidRPr="0044228E">
        <w:rPr>
          <w:noProof/>
          <w:sz w:val="24"/>
          <w:szCs w:val="24"/>
          <w:lang w:val="es-ES" w:eastAsia="es-ES"/>
        </w:rPr>
        <w:drawing>
          <wp:inline distT="0" distB="0" distL="0" distR="0" wp14:anchorId="61E27493" wp14:editId="479F1C19">
            <wp:extent cx="5486400" cy="32004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144AC" w:rsidRPr="0044228E" w:rsidRDefault="007144AC" w:rsidP="00296D59">
      <w:pPr>
        <w:rPr>
          <w:sz w:val="24"/>
          <w:szCs w:val="24"/>
          <w:lang w:val="es-ES"/>
        </w:rPr>
      </w:pPr>
    </w:p>
    <w:p w:rsidR="007144AC" w:rsidRPr="0044228E" w:rsidRDefault="007144AC" w:rsidP="00296D59">
      <w:pPr>
        <w:rPr>
          <w:sz w:val="24"/>
          <w:szCs w:val="24"/>
          <w:lang w:val="es-ES"/>
        </w:rPr>
      </w:pPr>
    </w:p>
    <w:p w:rsidR="00D37DAC" w:rsidRPr="0044228E" w:rsidRDefault="00D37DAC" w:rsidP="00296D59">
      <w:pPr>
        <w:rPr>
          <w:sz w:val="24"/>
          <w:szCs w:val="24"/>
          <w:lang w:val="es-ES"/>
        </w:rPr>
      </w:pPr>
      <w:r w:rsidRPr="0044228E">
        <w:rPr>
          <w:noProof/>
          <w:sz w:val="24"/>
          <w:szCs w:val="24"/>
          <w:lang w:val="es-ES" w:eastAsia="es-ES"/>
        </w:rPr>
        <w:drawing>
          <wp:inline distT="0" distB="0" distL="0" distR="0" wp14:anchorId="3E05BCC1" wp14:editId="7D271180">
            <wp:extent cx="5486400" cy="32004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Start w:id="4" w:name="_GoBack"/>
      <w:bookmarkEnd w:id="4"/>
    </w:p>
    <w:sectPr w:rsidR="00D37DAC" w:rsidRPr="0044228E" w:rsidSect="00F017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648" w:rsidRDefault="00287648" w:rsidP="00690E21">
      <w:pPr>
        <w:spacing w:after="0" w:line="240" w:lineRule="auto"/>
      </w:pPr>
      <w:r>
        <w:separator/>
      </w:r>
    </w:p>
  </w:endnote>
  <w:endnote w:type="continuationSeparator" w:id="0">
    <w:p w:rsidR="00287648" w:rsidRDefault="00287648" w:rsidP="00690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w:altName w:val="Segoe"/>
    <w:panose1 w:val="00000000000000000000"/>
    <w:charset w:val="00"/>
    <w:family w:val="swiss"/>
    <w:notTrueType/>
    <w:pitch w:val="variable"/>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648" w:rsidRDefault="00287648" w:rsidP="00690E21">
      <w:pPr>
        <w:spacing w:after="0" w:line="240" w:lineRule="auto"/>
      </w:pPr>
      <w:r>
        <w:separator/>
      </w:r>
    </w:p>
  </w:footnote>
  <w:footnote w:type="continuationSeparator" w:id="0">
    <w:p w:rsidR="00287648" w:rsidRDefault="00287648" w:rsidP="00690E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6D4"/>
    <w:rsid w:val="000070E8"/>
    <w:rsid w:val="000A7875"/>
    <w:rsid w:val="000A7E5E"/>
    <w:rsid w:val="00124D89"/>
    <w:rsid w:val="00287648"/>
    <w:rsid w:val="00296D59"/>
    <w:rsid w:val="003176ED"/>
    <w:rsid w:val="0044228E"/>
    <w:rsid w:val="004D293E"/>
    <w:rsid w:val="005426D4"/>
    <w:rsid w:val="005D4B6A"/>
    <w:rsid w:val="005F0505"/>
    <w:rsid w:val="00690E21"/>
    <w:rsid w:val="007144AC"/>
    <w:rsid w:val="00751326"/>
    <w:rsid w:val="007938DE"/>
    <w:rsid w:val="008C260D"/>
    <w:rsid w:val="009503A1"/>
    <w:rsid w:val="00A6456D"/>
    <w:rsid w:val="00B37D94"/>
    <w:rsid w:val="00C05234"/>
    <w:rsid w:val="00CE68DB"/>
    <w:rsid w:val="00D07505"/>
    <w:rsid w:val="00D37DAC"/>
    <w:rsid w:val="00E72FFF"/>
    <w:rsid w:val="00EF459A"/>
    <w:rsid w:val="00F01710"/>
    <w:rsid w:val="00F26026"/>
    <w:rsid w:val="00F41A6B"/>
    <w:rsid w:val="00F51BA3"/>
    <w:rsid w:val="00F76968"/>
    <w:rsid w:val="00FA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426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426D4"/>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296D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96D59"/>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124D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5D4B6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4B6A"/>
    <w:rPr>
      <w:rFonts w:ascii="Tahoma" w:hAnsi="Tahoma" w:cs="Tahoma"/>
      <w:sz w:val="16"/>
      <w:szCs w:val="16"/>
    </w:rPr>
  </w:style>
  <w:style w:type="character" w:styleId="Textodelmarcadordeposicin">
    <w:name w:val="Placeholder Text"/>
    <w:basedOn w:val="Fuentedeprrafopredeter"/>
    <w:uiPriority w:val="99"/>
    <w:semiHidden/>
    <w:rsid w:val="007938DE"/>
    <w:rPr>
      <w:color w:val="808080"/>
    </w:rPr>
  </w:style>
  <w:style w:type="paragraph" w:styleId="Encabezado">
    <w:name w:val="header"/>
    <w:basedOn w:val="Normal"/>
    <w:link w:val="EncabezadoCar"/>
    <w:uiPriority w:val="99"/>
    <w:unhideWhenUsed/>
    <w:rsid w:val="00690E2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90E21"/>
  </w:style>
  <w:style w:type="paragraph" w:styleId="Piedepgina">
    <w:name w:val="footer"/>
    <w:basedOn w:val="Normal"/>
    <w:link w:val="PiedepginaCar"/>
    <w:uiPriority w:val="99"/>
    <w:unhideWhenUsed/>
    <w:rsid w:val="00690E2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90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426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426D4"/>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296D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96D59"/>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124D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5D4B6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4B6A"/>
    <w:rPr>
      <w:rFonts w:ascii="Tahoma" w:hAnsi="Tahoma" w:cs="Tahoma"/>
      <w:sz w:val="16"/>
      <w:szCs w:val="16"/>
    </w:rPr>
  </w:style>
  <w:style w:type="character" w:styleId="Textodelmarcadordeposicin">
    <w:name w:val="Placeholder Text"/>
    <w:basedOn w:val="Fuentedeprrafopredeter"/>
    <w:uiPriority w:val="99"/>
    <w:semiHidden/>
    <w:rsid w:val="007938DE"/>
    <w:rPr>
      <w:color w:val="808080"/>
    </w:rPr>
  </w:style>
  <w:style w:type="paragraph" w:styleId="Encabezado">
    <w:name w:val="header"/>
    <w:basedOn w:val="Normal"/>
    <w:link w:val="EncabezadoCar"/>
    <w:uiPriority w:val="99"/>
    <w:unhideWhenUsed/>
    <w:rsid w:val="00690E2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90E21"/>
  </w:style>
  <w:style w:type="paragraph" w:styleId="Piedepgina">
    <w:name w:val="footer"/>
    <w:basedOn w:val="Normal"/>
    <w:link w:val="PiedepginaCar"/>
    <w:uiPriority w:val="99"/>
    <w:unhideWhenUsed/>
    <w:rsid w:val="00690E2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90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Hoja_de_c_lculo_de_Microsoft_Excel1.xlsx"/><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a:lstStyle/>
          <a:p>
            <a:pPr>
              <a:defRPr/>
            </a:pPr>
            <a:r>
              <a:rPr lang="en-US"/>
              <a:t>Recaudación</a:t>
            </a:r>
            <a:r>
              <a:rPr lang="en-US" baseline="0"/>
              <a:t> en </a:t>
            </a:r>
            <a:r>
              <a:rPr lang="en-US"/>
              <a:t>2012</a:t>
            </a:r>
          </a:p>
        </c:rich>
      </c:tx>
      <c:layout>
        <c:manualLayout>
          <c:xMode val="edge"/>
          <c:yMode val="edge"/>
          <c:x val="0.39834481627296586"/>
          <c:y val="2.3809523809523808E-2"/>
        </c:manualLayout>
      </c:layout>
      <c:overlay val="0"/>
    </c:title>
    <c:autoTitleDeleted val="0"/>
    <c:view3D>
      <c:rotX val="15"/>
      <c:rotY val="60"/>
      <c:rAngAx val="0"/>
      <c:perspective val="80"/>
    </c:view3D>
    <c:floor>
      <c:thickness val="0"/>
    </c:floor>
    <c:sideWall>
      <c:thickness val="0"/>
    </c:sideWall>
    <c:backWall>
      <c:thickness val="0"/>
    </c:backWall>
    <c:plotArea>
      <c:layout/>
      <c:bar3DChart>
        <c:barDir val="bar"/>
        <c:grouping val="percentStacked"/>
        <c:varyColors val="0"/>
        <c:ser>
          <c:idx val="0"/>
          <c:order val="0"/>
          <c:tx>
            <c:strRef>
              <c:f>Sheet1!$B$1</c:f>
              <c:strCache>
                <c:ptCount val="1"/>
                <c:pt idx="0">
                  <c:v>Actual 2011</c:v>
                </c:pt>
              </c:strCache>
            </c:strRef>
          </c:tx>
          <c:invertIfNegative val="0"/>
          <c:cat>
            <c:strRef>
              <c:f>Sheet1!$A$2:$A$8</c:f>
              <c:strCache>
                <c:ptCount val="6"/>
                <c:pt idx="0">
                  <c:v>Julio</c:v>
                </c:pt>
                <c:pt idx="1">
                  <c:v>Agosto</c:v>
                </c:pt>
                <c:pt idx="2">
                  <c:v>Septiembre</c:v>
                </c:pt>
                <c:pt idx="3">
                  <c:v>Octubre</c:v>
                </c:pt>
                <c:pt idx="4">
                  <c:v>Noviembre</c:v>
                </c:pt>
                <c:pt idx="5">
                  <c:v>Diciembre</c:v>
                </c:pt>
              </c:strCache>
            </c:strRef>
          </c:cat>
          <c:val>
            <c:numRef>
              <c:f>Sheet1!$B$2:$B$8</c:f>
              <c:numCache>
                <c:formatCode>"€"#,##0.00_);[Red]\("€"#,##0.00\)</c:formatCode>
                <c:ptCount val="7"/>
                <c:pt idx="0">
                  <c:v>8254</c:v>
                </c:pt>
                <c:pt idx="1">
                  <c:v>9046</c:v>
                </c:pt>
                <c:pt idx="2">
                  <c:v>7203</c:v>
                </c:pt>
                <c:pt idx="3">
                  <c:v>8704</c:v>
                </c:pt>
                <c:pt idx="4">
                  <c:v>9483</c:v>
                </c:pt>
                <c:pt idx="5">
                  <c:v>5883</c:v>
                </c:pt>
              </c:numCache>
            </c:numRef>
          </c:val>
        </c:ser>
        <c:ser>
          <c:idx val="1"/>
          <c:order val="1"/>
          <c:tx>
            <c:strRef>
              <c:f>Sheet1!$C$1</c:f>
              <c:strCache>
                <c:ptCount val="1"/>
                <c:pt idx="0">
                  <c:v>Objetivo 2012</c:v>
                </c:pt>
              </c:strCache>
            </c:strRef>
          </c:tx>
          <c:invertIfNegative val="0"/>
          <c:cat>
            <c:strRef>
              <c:f>Sheet1!$A$2:$A$8</c:f>
              <c:strCache>
                <c:ptCount val="6"/>
                <c:pt idx="0">
                  <c:v>Julio</c:v>
                </c:pt>
                <c:pt idx="1">
                  <c:v>Agosto</c:v>
                </c:pt>
                <c:pt idx="2">
                  <c:v>Septiembre</c:v>
                </c:pt>
                <c:pt idx="3">
                  <c:v>Octubre</c:v>
                </c:pt>
                <c:pt idx="4">
                  <c:v>Noviembre</c:v>
                </c:pt>
                <c:pt idx="5">
                  <c:v>Diciembre</c:v>
                </c:pt>
              </c:strCache>
            </c:strRef>
          </c:cat>
          <c:val>
            <c:numRef>
              <c:f>Sheet1!$C$2:$C$8</c:f>
              <c:numCache>
                <c:formatCode>"€"#,##0.00_);[Red]\("€"#,##0.00\)</c:formatCode>
                <c:ptCount val="7"/>
                <c:pt idx="0">
                  <c:v>9244.48</c:v>
                </c:pt>
                <c:pt idx="1">
                  <c:v>10131.52</c:v>
                </c:pt>
                <c:pt idx="2">
                  <c:v>8067.36</c:v>
                </c:pt>
                <c:pt idx="3">
                  <c:v>9748.48</c:v>
                </c:pt>
                <c:pt idx="4">
                  <c:v>10620.96</c:v>
                </c:pt>
                <c:pt idx="5">
                  <c:v>6588.96</c:v>
                </c:pt>
              </c:numCache>
            </c:numRef>
          </c:val>
        </c:ser>
        <c:ser>
          <c:idx val="2"/>
          <c:order val="2"/>
          <c:tx>
            <c:strRef>
              <c:f>Sheet1!$D$1</c:f>
              <c:strCache>
                <c:ptCount val="1"/>
                <c:pt idx="0">
                  <c:v>Prometidos</c:v>
                </c:pt>
              </c:strCache>
            </c:strRef>
          </c:tx>
          <c:invertIfNegative val="0"/>
          <c:cat>
            <c:strRef>
              <c:f>Sheet1!$A$2:$A$8</c:f>
              <c:strCache>
                <c:ptCount val="6"/>
                <c:pt idx="0">
                  <c:v>Julio</c:v>
                </c:pt>
                <c:pt idx="1">
                  <c:v>Agosto</c:v>
                </c:pt>
                <c:pt idx="2">
                  <c:v>Septiembre</c:v>
                </c:pt>
                <c:pt idx="3">
                  <c:v>Octubre</c:v>
                </c:pt>
                <c:pt idx="4">
                  <c:v>Noviembre</c:v>
                </c:pt>
                <c:pt idx="5">
                  <c:v>Diciembre</c:v>
                </c:pt>
              </c:strCache>
            </c:strRef>
          </c:cat>
          <c:val>
            <c:numRef>
              <c:f>Sheet1!$D$2:$D$8</c:f>
              <c:numCache>
                <c:formatCode>"€"#,##0.00_);[Red]\("€"#,##0.00\)</c:formatCode>
                <c:ptCount val="7"/>
                <c:pt idx="0">
                  <c:v>6933.36</c:v>
                </c:pt>
                <c:pt idx="1">
                  <c:v>11144.67</c:v>
                </c:pt>
                <c:pt idx="2">
                  <c:v>8148.03</c:v>
                </c:pt>
                <c:pt idx="3">
                  <c:v>4874.24</c:v>
                </c:pt>
                <c:pt idx="4">
                  <c:v>12214.1</c:v>
                </c:pt>
                <c:pt idx="5">
                  <c:v>6193.62</c:v>
                </c:pt>
              </c:numCache>
            </c:numRef>
          </c:val>
        </c:ser>
        <c:ser>
          <c:idx val="3"/>
          <c:order val="3"/>
          <c:tx>
            <c:strRef>
              <c:f>Sheet1!$E$1</c:f>
              <c:strCache>
                <c:ptCount val="1"/>
                <c:pt idx="0">
                  <c:v>Recaudados</c:v>
                </c:pt>
              </c:strCache>
            </c:strRef>
          </c:tx>
          <c:invertIfNegative val="0"/>
          <c:cat>
            <c:strRef>
              <c:f>Sheet1!$A$2:$A$8</c:f>
              <c:strCache>
                <c:ptCount val="6"/>
                <c:pt idx="0">
                  <c:v>Julio</c:v>
                </c:pt>
                <c:pt idx="1">
                  <c:v>Agosto</c:v>
                </c:pt>
                <c:pt idx="2">
                  <c:v>Septiembre</c:v>
                </c:pt>
                <c:pt idx="3">
                  <c:v>Octubre</c:v>
                </c:pt>
                <c:pt idx="4">
                  <c:v>Noviembre</c:v>
                </c:pt>
                <c:pt idx="5">
                  <c:v>Diciembre</c:v>
                </c:pt>
              </c:strCache>
            </c:strRef>
          </c:cat>
          <c:val>
            <c:numRef>
              <c:f>Sheet1!$E$2:$E$8</c:f>
              <c:numCache>
                <c:formatCode>"€"#,##0.00_);[Red]\("€"#,##0.00\)</c:formatCode>
                <c:ptCount val="7"/>
                <c:pt idx="0">
                  <c:v>5893.36</c:v>
                </c:pt>
                <c:pt idx="1">
                  <c:v>9472.9699999999993</c:v>
                </c:pt>
                <c:pt idx="2">
                  <c:v>6925.83</c:v>
                </c:pt>
                <c:pt idx="3">
                  <c:v>4143.1000000000004</c:v>
                </c:pt>
                <c:pt idx="4">
                  <c:v>10381.99</c:v>
                </c:pt>
                <c:pt idx="5">
                  <c:v>5264.58</c:v>
                </c:pt>
              </c:numCache>
            </c:numRef>
          </c:val>
        </c:ser>
        <c:ser>
          <c:idx val="4"/>
          <c:order val="4"/>
          <c:tx>
            <c:strRef>
              <c:f>Sheet1!$F$1</c:f>
              <c:strCache>
                <c:ptCount val="1"/>
                <c:pt idx="0">
                  <c:v>Variación</c:v>
                </c:pt>
              </c:strCache>
            </c:strRef>
          </c:tx>
          <c:invertIfNegative val="0"/>
          <c:cat>
            <c:strRef>
              <c:f>Sheet1!$A$2:$A$8</c:f>
              <c:strCache>
                <c:ptCount val="6"/>
                <c:pt idx="0">
                  <c:v>Julio</c:v>
                </c:pt>
                <c:pt idx="1">
                  <c:v>Agosto</c:v>
                </c:pt>
                <c:pt idx="2">
                  <c:v>Septiembre</c:v>
                </c:pt>
                <c:pt idx="3">
                  <c:v>Octubre</c:v>
                </c:pt>
                <c:pt idx="4">
                  <c:v>Noviembre</c:v>
                </c:pt>
                <c:pt idx="5">
                  <c:v>Diciembre</c:v>
                </c:pt>
              </c:strCache>
            </c:strRef>
          </c:cat>
          <c:val>
            <c:numRef>
              <c:f>Sheet1!$F$2:$F$8</c:f>
              <c:numCache>
                <c:formatCode>_-* #,##0.00\ [$€-C0A]_-;\-* #,##0.00\ [$€-C0A]_-;_-* "-"??\ [$€-C0A]_-;_-@_-</c:formatCode>
                <c:ptCount val="7"/>
                <c:pt idx="0">
                  <c:v>3351.12</c:v>
                </c:pt>
                <c:pt idx="1">
                  <c:v>658.55000000000109</c:v>
                </c:pt>
                <c:pt idx="2">
                  <c:v>1141.5299999999997</c:v>
                </c:pt>
                <c:pt idx="3">
                  <c:v>5605.3799999999992</c:v>
                </c:pt>
                <c:pt idx="4">
                  <c:v>238.96999999999935</c:v>
                </c:pt>
                <c:pt idx="5">
                  <c:v>1324.38</c:v>
                </c:pt>
              </c:numCache>
            </c:numRef>
          </c:val>
        </c:ser>
        <c:dLbls>
          <c:showLegendKey val="0"/>
          <c:showVal val="0"/>
          <c:showCatName val="0"/>
          <c:showSerName val="0"/>
          <c:showPercent val="0"/>
          <c:showBubbleSize val="0"/>
        </c:dLbls>
        <c:gapWidth val="150"/>
        <c:shape val="box"/>
        <c:axId val="169499648"/>
        <c:axId val="169501824"/>
        <c:axId val="0"/>
      </c:bar3DChart>
      <c:catAx>
        <c:axId val="169499648"/>
        <c:scaling>
          <c:orientation val="maxMin"/>
        </c:scaling>
        <c:delete val="0"/>
        <c:axPos val="l"/>
        <c:majorGridlines/>
        <c:minorGridlines/>
        <c:title>
          <c:tx>
            <c:rich>
              <a:bodyPr rot="0" vert="wordArtVert"/>
              <a:lstStyle/>
              <a:p>
                <a:pPr>
                  <a:defRPr/>
                </a:pPr>
                <a:r>
                  <a:rPr lang="en-US"/>
                  <a:t>Mes</a:t>
                </a:r>
              </a:p>
            </c:rich>
          </c:tx>
          <c:overlay val="0"/>
        </c:title>
        <c:majorTickMark val="out"/>
        <c:minorTickMark val="none"/>
        <c:tickLblPos val="nextTo"/>
        <c:crossAx val="169501824"/>
        <c:crosses val="autoZero"/>
        <c:auto val="1"/>
        <c:lblAlgn val="ctr"/>
        <c:lblOffset val="100"/>
        <c:noMultiLvlLbl val="0"/>
      </c:catAx>
      <c:valAx>
        <c:axId val="169501824"/>
        <c:scaling>
          <c:orientation val="minMax"/>
        </c:scaling>
        <c:delete val="0"/>
        <c:axPos val="t"/>
        <c:majorGridlines/>
        <c:numFmt formatCode="0%" sourceLinked="1"/>
        <c:majorTickMark val="out"/>
        <c:minorTickMark val="none"/>
        <c:tickLblPos val="nextTo"/>
        <c:crossAx val="169499648"/>
        <c:crosses val="autoZero"/>
        <c:crossBetween val="between"/>
      </c:valAx>
    </c:plotArea>
    <c:legend>
      <c:legendPos val="r"/>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Sheet1!$B$1</c:f>
              <c:strCache>
                <c:ptCount val="1"/>
                <c:pt idx="0">
                  <c:v>Serie 1</c:v>
                </c:pt>
              </c:strCache>
            </c:strRef>
          </c:tx>
          <c:cat>
            <c:strRef>
              <c:f>Sheet1!$A$2:$A$5</c:f>
              <c:strCache>
                <c:ptCount val="4"/>
                <c:pt idx="0">
                  <c:v>Categoría 1</c:v>
                </c:pt>
                <c:pt idx="1">
                  <c:v>Categoría 2</c:v>
                </c:pt>
                <c:pt idx="2">
                  <c:v>Categoría 3</c:v>
                </c:pt>
                <c:pt idx="3">
                  <c:v>Categoría 4</c:v>
                </c:pt>
              </c:strCache>
            </c:strRef>
          </c:cat>
          <c:val>
            <c:numRef>
              <c:f>Sheet1!$B$2:$B$5</c:f>
              <c:numCache>
                <c:formatCode>General</c:formatCode>
                <c:ptCount val="4"/>
                <c:pt idx="0">
                  <c:v>4.3</c:v>
                </c:pt>
                <c:pt idx="1">
                  <c:v>2.5</c:v>
                </c:pt>
                <c:pt idx="2">
                  <c:v>3.5</c:v>
                </c:pt>
                <c:pt idx="3">
                  <c:v>4.75</c:v>
                </c:pt>
              </c:numCache>
            </c:numRef>
          </c:val>
          <c:smooth val="0"/>
        </c:ser>
        <c:ser>
          <c:idx val="1"/>
          <c:order val="1"/>
          <c:tx>
            <c:strRef>
              <c:f>Sheet1!$C$1</c:f>
              <c:strCache>
                <c:ptCount val="1"/>
                <c:pt idx="0">
                  <c:v>Serie 2</c:v>
                </c:pt>
              </c:strCache>
            </c:strRef>
          </c:tx>
          <c:cat>
            <c:strRef>
              <c:f>Sheet1!$A$2:$A$5</c:f>
              <c:strCache>
                <c:ptCount val="4"/>
                <c:pt idx="0">
                  <c:v>Categoría 1</c:v>
                </c:pt>
                <c:pt idx="1">
                  <c:v>Categoría 2</c:v>
                </c:pt>
                <c:pt idx="2">
                  <c:v>Categoría 3</c:v>
                </c:pt>
                <c:pt idx="3">
                  <c:v>Categoría 4</c:v>
                </c:pt>
              </c:strCache>
            </c:strRef>
          </c:cat>
          <c:val>
            <c:numRef>
              <c:f>Sheet1!$C$2:$C$5</c:f>
              <c:numCache>
                <c:formatCode>General</c:formatCode>
                <c:ptCount val="4"/>
                <c:pt idx="0">
                  <c:v>2.4</c:v>
                </c:pt>
                <c:pt idx="1">
                  <c:v>4.4000000000000004</c:v>
                </c:pt>
                <c:pt idx="2">
                  <c:v>1.8</c:v>
                </c:pt>
                <c:pt idx="3">
                  <c:v>2.8</c:v>
                </c:pt>
              </c:numCache>
            </c:numRef>
          </c:val>
          <c:smooth val="0"/>
        </c:ser>
        <c:ser>
          <c:idx val="2"/>
          <c:order val="2"/>
          <c:tx>
            <c:strRef>
              <c:f>Sheet1!$D$1</c:f>
              <c:strCache>
                <c:ptCount val="1"/>
                <c:pt idx="0">
                  <c:v>Serie 3</c:v>
                </c:pt>
              </c:strCache>
            </c:strRef>
          </c:tx>
          <c:cat>
            <c:strRef>
              <c:f>Sheet1!$A$2:$A$5</c:f>
              <c:strCache>
                <c:ptCount val="4"/>
                <c:pt idx="0">
                  <c:v>Categoría 1</c:v>
                </c:pt>
                <c:pt idx="1">
                  <c:v>Categoría 2</c:v>
                </c:pt>
                <c:pt idx="2">
                  <c:v>Categoría 3</c:v>
                </c:pt>
                <c:pt idx="3">
                  <c:v>Categoría 4</c:v>
                </c:pt>
              </c:strCache>
            </c:strRef>
          </c:cat>
          <c:val>
            <c:numRef>
              <c:f>Sheet1!$D$2:$D$5</c:f>
              <c:numCache>
                <c:formatCode>General</c:formatCode>
                <c:ptCount val="4"/>
                <c:pt idx="0">
                  <c:v>2</c:v>
                </c:pt>
                <c:pt idx="1">
                  <c:v>2</c:v>
                </c:pt>
                <c:pt idx="2">
                  <c:v>3</c:v>
                </c:pt>
                <c:pt idx="3">
                  <c:v>5</c:v>
                </c:pt>
              </c:numCache>
            </c:numRef>
          </c:val>
          <c:smooth val="0"/>
        </c:ser>
        <c:dLbls>
          <c:showLegendKey val="0"/>
          <c:showVal val="0"/>
          <c:showCatName val="0"/>
          <c:showSerName val="0"/>
          <c:showPercent val="0"/>
          <c:showBubbleSize val="0"/>
        </c:dLbls>
        <c:marker val="1"/>
        <c:smooth val="0"/>
        <c:axId val="169511936"/>
        <c:axId val="169513728"/>
      </c:lineChart>
      <c:catAx>
        <c:axId val="169511936"/>
        <c:scaling>
          <c:orientation val="minMax"/>
        </c:scaling>
        <c:delete val="0"/>
        <c:axPos val="b"/>
        <c:majorTickMark val="out"/>
        <c:minorTickMark val="none"/>
        <c:tickLblPos val="nextTo"/>
        <c:crossAx val="169513728"/>
        <c:crosses val="autoZero"/>
        <c:auto val="1"/>
        <c:lblAlgn val="ctr"/>
        <c:lblOffset val="100"/>
        <c:noMultiLvlLbl val="0"/>
      </c:catAx>
      <c:valAx>
        <c:axId val="169513728"/>
        <c:scaling>
          <c:orientation val="minMax"/>
        </c:scaling>
        <c:delete val="0"/>
        <c:axPos val="l"/>
        <c:majorGridlines/>
        <c:numFmt formatCode="General" sourceLinked="1"/>
        <c:majorTickMark val="out"/>
        <c:minorTickMark val="none"/>
        <c:tickLblPos val="nextTo"/>
        <c:crossAx val="16951193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1055</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2011-11-30T18:33:00Z</dcterms:created>
  <dcterms:modified xsi:type="dcterms:W3CDTF">2011-11-30T18:33:00Z</dcterms:modified>
</cp:coreProperties>
</file>